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印染行业规范条件（2017版）</w:t>
      </w:r>
      <w:bookmarkStart w:id="0" w:name="_GoBack"/>
      <w:bookmarkEnd w:id="0"/>
    </w:p>
    <w:p>
      <w:pPr>
        <w:jc w:val="center"/>
        <w:rPr>
          <w:rFonts w:hint="eastAsia" w:ascii="华文中宋" w:hAnsi="华文中宋" w:eastAsia="华文中宋" w:cs="华文中宋"/>
          <w:b/>
          <w:bCs/>
          <w:sz w:val="36"/>
          <w:szCs w:val="36"/>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促进印染行业产业结构调整和转型升级，规范印染行业生产经营和投资行为，推进节能减排清洁生产，引导印染行业向技术密集、资源节约、环境友好型产业发展，根据国家有关法律、法规和产业政策，制定本规范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一、企业布局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（一）印染企业建设地点</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符合国家产业规划和产业政策，符合本地区主体功能区规划、城乡规划、土地利用总体规划和生态环境规划要求。七大重点流域干流沿岸，要严格控制印染项目环境风险，合理布局生产装置。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国务院、国家有关部门和省（自治区、直辖市）级人民政府规定的风景名胜区、自然保护区、饮用水保护区和主要河流两岸边界外规定范围内不得新建印染项目。已在上述区域内投产运营的印染生产企业要根据区域规划和保护生态环境的需要，依法通过关闭、搬迁、转产等方式退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（三）缺水或水质较差地区原则上不得新建印染项目。水源相对充足地区新建印染项目，地方政府相关部门要科学规划，合理布局，在工业园区内集中建设，实行集中供热和污染物的集中处理。</w:t>
      </w:r>
      <w:r>
        <w:rPr>
          <w:rFonts w:hint="eastAsia" w:ascii="仿宋_GB2312" w:hAnsi="仿宋_GB2312" w:eastAsia="仿宋_GB2312" w:cs="仿宋_GB2312"/>
          <w:sz w:val="32"/>
          <w:szCs w:val="32"/>
          <w:lang w:eastAsia="zh-CN"/>
        </w:rPr>
        <w:t>环境质量不达标区域的建设项目，要在环境质量限期达标规划的基础上，实施水污染物区域削减方案。</w:t>
      </w:r>
      <w:r>
        <w:rPr>
          <w:rFonts w:hint="eastAsia" w:ascii="仿宋_GB2312" w:hAnsi="仿宋_GB2312" w:eastAsia="仿宋_GB2312" w:cs="仿宋_GB2312"/>
          <w:sz w:val="32"/>
          <w:szCs w:val="32"/>
        </w:rPr>
        <w:t>工业园区外企业要逐步搬迁入园。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二、工艺与装备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（一）印染企业要采用技术先进、节能环保的设备，主要工艺参数实现在线检测和自动控制。</w:t>
      </w:r>
      <w:r>
        <w:rPr>
          <w:rFonts w:hint="eastAsia" w:ascii="仿宋_GB2312" w:hAnsi="仿宋_GB2312" w:eastAsia="仿宋_GB2312" w:cs="仿宋_GB2312"/>
          <w:sz w:val="32"/>
          <w:szCs w:val="32"/>
          <w:lang w:eastAsia="zh-CN"/>
        </w:rPr>
        <w:t>新建或改扩建印染生产线总体水平要达到或接近国际先进水平。</w:t>
      </w:r>
      <w:r>
        <w:rPr>
          <w:rFonts w:hint="eastAsia" w:ascii="仿宋_GB2312" w:hAnsi="仿宋_GB2312" w:eastAsia="仿宋_GB2312" w:cs="仿宋_GB2312"/>
          <w:sz w:val="32"/>
          <w:szCs w:val="32"/>
        </w:rPr>
        <w:t>鼓励采用染化料自动配液输送系统。禁止使用国家明确规定的淘汰类落后生产工艺和设备，禁止使用达不到节能环保要求的二手设备。棉、化纤及混纺机织物印染项目设计建设要执行《印染工厂设计规范》（GB50426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（二）连续式水洗装置要密封性好，并配有逆流、高效漂洗及热能回收装置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间歇式染色设备浴比应满足1：8以下工艺要求</w:t>
      </w:r>
      <w:r>
        <w:rPr>
          <w:rFonts w:hint="eastAsia" w:ascii="仿宋_GB2312" w:hAnsi="仿宋_GB2312" w:eastAsia="仿宋_GB2312" w:cs="仿宋_GB2312"/>
          <w:sz w:val="32"/>
          <w:szCs w:val="32"/>
          <w:lang w:eastAsia="zh-CN"/>
        </w:rPr>
        <w:t>。热定形、涂层等工序挥发性有机物（</w:t>
      </w:r>
      <w:r>
        <w:rPr>
          <w:rFonts w:hint="eastAsia" w:ascii="仿宋_GB2312" w:hAnsi="仿宋_GB2312" w:eastAsia="仿宋_GB2312" w:cs="仿宋_GB2312"/>
          <w:sz w:val="32"/>
          <w:szCs w:val="32"/>
          <w:lang w:val="en-US" w:eastAsia="zh-CN"/>
        </w:rPr>
        <w:t>VOCs）废气应收集处理，鼓励采用溶剂回收和余热回收装置。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、质量与管理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（一）印染企业要开发生产低消耗、低污染</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产品，鼓励采用新技术、新工艺、新设备、新材料开发具有知识产权、高附加值的纺织产品。产品质量要符合国家或行业标准要求，产品合格率达到95%以上。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（二）印染企业应实行三级用能、用水计量管理，设置专门机构或人员对能源、取水、排污情况进行监督，并建立管理考核制度和数据统计系统。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（三）印染企业要健全企业管理制度，鼓励企业进行质量、环境以及职业健康等管理体系认证，支持企业采用信息化管理手段提高企业管理效率和水平。企业要加强生产现场管理，车间要求干净整洁。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印染企业要规范化学品存储和使用，危险化学品应严格遵循《危险化学品安全管理条例》要求，加强对从业人员化学品使用的岗位技能培训。企业应建立化学品绿色供应链管控体系，避免使用对消费者、环境等有害的化学物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、资源消耗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（一）印染企业单位产品能耗和新鲜水取水量要达到规定要求。</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印染加工综合能耗及新鲜水取水量</w:t>
      </w:r>
    </w:p>
    <w:tbl>
      <w:tblPr>
        <w:tblStyle w:val="5"/>
        <w:tblW w:w="8522" w:type="dxa"/>
        <w:jc w:val="center"/>
        <w:tblInd w:w="0" w:type="dxa"/>
        <w:tblLayout w:type="fixed"/>
        <w:tblCellMar>
          <w:top w:w="0" w:type="dxa"/>
          <w:left w:w="0" w:type="dxa"/>
          <w:bottom w:w="0" w:type="dxa"/>
          <w:right w:w="0" w:type="dxa"/>
        </w:tblCellMar>
      </w:tblPr>
      <w:tblGrid>
        <w:gridCol w:w="2988"/>
        <w:gridCol w:w="2693"/>
        <w:gridCol w:w="2841"/>
      </w:tblGrid>
      <w:tr>
        <w:tblPrEx>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分类</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综合能耗</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新鲜水取水量</w:t>
            </w:r>
          </w:p>
        </w:tc>
      </w:tr>
      <w:tr>
        <w:tblPrEx>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棉、麻、化纤及混纺机织物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≤1.6吨水/百米</w:t>
            </w:r>
          </w:p>
        </w:tc>
      </w:tr>
      <w:tr>
        <w:tblPrEx>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纱线、针织物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≤1.1吨标煤/吨</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0吨水/吨</w:t>
            </w:r>
          </w:p>
        </w:tc>
      </w:tr>
      <w:tr>
        <w:tblPrEx>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真丝绸机织物（含练白）</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≤2.2吨水/百米</w:t>
            </w:r>
          </w:p>
        </w:tc>
      </w:tr>
      <w:tr>
        <w:tblPrEx>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精梳毛织物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≤15吨水/百米</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注：1.机织物标准品为布幅宽度152cm、布重10-14kg/100m的棉染色合格产品，真丝绸机织物标准品为布幅宽度114cm、布重6-8kg/100m的染色合格产品，当产品不同时，可按标准进行换算。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2.针织或纱线标准品为棉浅色染色产品，当产品不同时，可</w:t>
      </w:r>
      <w:r>
        <w:rPr>
          <w:rFonts w:hint="eastAsia" w:ascii="仿宋_GB2312" w:hAnsi="仿宋_GB2312" w:eastAsia="仿宋_GB2312" w:cs="仿宋_GB2312"/>
          <w:sz w:val="32"/>
          <w:szCs w:val="32"/>
          <w:lang w:eastAsia="zh-CN"/>
        </w:rPr>
        <w:t>参照《针织印染产品取水计算办法及单耗基本定额》（</w:t>
      </w:r>
      <w:r>
        <w:rPr>
          <w:rFonts w:hint="eastAsia" w:ascii="仿宋_GB2312" w:hAnsi="仿宋_GB2312" w:eastAsia="仿宋_GB2312" w:cs="仿宋_GB2312"/>
          <w:sz w:val="32"/>
          <w:szCs w:val="32"/>
          <w:lang w:val="en-US" w:eastAsia="zh-CN"/>
        </w:rPr>
        <w:t>FZ/T01105）</w:t>
      </w:r>
      <w:r>
        <w:rPr>
          <w:rFonts w:hint="eastAsia" w:ascii="仿宋_GB2312" w:hAnsi="仿宋_GB2312" w:eastAsia="仿宋_GB2312" w:cs="仿宋_GB2312"/>
          <w:sz w:val="32"/>
          <w:szCs w:val="32"/>
        </w:rPr>
        <w:t>进行换算。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精梳毛织物印染加工指从毛条经过条染复精梳、纺纱、织布、染整、成品入库等工序加工成合格毛织品精梳织物的全过程。粗梳毛织物单位产品能耗按精梳毛织物的1.3倍折算,新鲜水取水量按精梳毛织物的1.15倍折算。</w:t>
      </w:r>
      <w:r>
        <w:rPr>
          <w:rFonts w:hint="eastAsia" w:ascii="仿宋_GB2312" w:hAnsi="仿宋_GB2312" w:eastAsia="仿宋_GB2312" w:cs="仿宋_GB2312"/>
          <w:sz w:val="32"/>
          <w:szCs w:val="32"/>
          <w:lang w:eastAsia="zh-CN"/>
        </w:rPr>
        <w:t>毛针织绒线、手编绒线单位</w:t>
      </w:r>
      <w:r>
        <w:rPr>
          <w:rFonts w:hint="eastAsia" w:ascii="仿宋_GB2312" w:hAnsi="仿宋_GB2312" w:eastAsia="仿宋_GB2312" w:cs="仿宋_GB2312"/>
          <w:sz w:val="32"/>
          <w:szCs w:val="32"/>
        </w:rPr>
        <w:t>产品能耗按纱线、针织物的1.3倍折算,新鲜水取水量按纱线、针织物的1.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倍折算。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、环境保护与资源综合利用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环保设施要按照《纺织工业企业环保设计规范》（GB50425）的要求进行设计和建设，执行环保设施与主体工程同时设计、同时施工、同时投产的“三同时”制度。印染废水应自行处理或接入集中废水处理设施，并加强废水处理及运行中的水质分析和监控，废水排放实行在线监控，实现稳定达标排放。采用高效节能的固体废弃物处理工艺，实现固体废弃物资源化和无害化处置。</w:t>
      </w:r>
      <w:r>
        <w:rPr>
          <w:rFonts w:hint="eastAsia" w:ascii="仿宋_GB2312" w:hAnsi="仿宋_GB2312" w:eastAsia="仿宋_GB2312" w:cs="仿宋_GB2312"/>
          <w:sz w:val="32"/>
          <w:szCs w:val="32"/>
          <w:lang w:eastAsia="zh-CN"/>
        </w:rPr>
        <w:t>依法办理排污许可证，并严格按证排放污染物。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（二）印染企业要按照环境友好和资源综合利用的原则，选择</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可生物降解（或易回收）浆料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坯布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使用生态环保型、高上染率染料和高性能助剂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完善冷却水、冷凝水及余热回收装置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丝光工艺配备淡碱回收装置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企业水重复利用率达到40％以上。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（三）印染企业要采用清洁生产技术，提高资源利用效率，从生产的源头控制污染物产生量。印染企业要依法定期实施清洁生产审核，按照有关规定开展能源审计，不断提高企业清洁生产水平。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、安全生产与社会责任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按照《纺织工业企业安全管理规范》（AQ7002）和《纺织工业企业职业安全卫生设计规范》（GB50477）要求，建设安全生产设施，并按照国家有关规定和要求，确保安全设施与主体工程同时设计、同时施工、同时投入生产和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鼓励印染企业按照《纺织企业社会责任管理体系》（CSC9000-T）的要求，履行社会责任。鼓励企业开展化学品和环境信息公开。企业在生产运营过程中严格按照《纺织工业企业安全管理规范》要求，规范安全生产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（一）工业和信息化、国土资源、环境保护、住房和城乡建设、安全监管等部门，要依法加强对印染企业的监督检查，对于违反规定的，有关部门要责令其及时改正，并依法严肃处理。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）各级工业和信息化主管部门要加强对印染行业的管理，督促企业按照规范条件要求，加快技术改造，加快淘汰落后产能，规范企业各项管理。经企业自愿申请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省级工业和信息化主管部门核实推荐，工业和信息化部对符合规范条件的企业进行公告。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）有关行业协会要宣传国家产业政策，加强行业指导和行业自律，推进印染行业技术进步，协助政府有关部门做好行业监督、管理工作。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（一）本规范条件适用于中华人民共和国境内（港澳台地区除外）各类印染企业，具有印染能力的棉纺织、</w:t>
      </w:r>
      <w:r>
        <w:rPr>
          <w:rFonts w:hint="eastAsia" w:ascii="仿宋_GB2312" w:hAnsi="仿宋_GB2312" w:eastAsia="仿宋_GB2312" w:cs="仿宋_GB2312"/>
          <w:sz w:val="32"/>
          <w:szCs w:val="32"/>
          <w:lang w:eastAsia="zh-CN"/>
        </w:rPr>
        <w:t>化纤</w:t>
      </w:r>
      <w:r>
        <w:rPr>
          <w:rFonts w:hint="eastAsia" w:ascii="仿宋_GB2312" w:hAnsi="仿宋_GB2312" w:eastAsia="仿宋_GB2312" w:cs="仿宋_GB2312"/>
          <w:sz w:val="32"/>
          <w:szCs w:val="32"/>
        </w:rPr>
        <w:t>织造、毛纺织、麻纺织、丝绸、色织、针织、服装等企业。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（二）本规范条件采用的标准或数据如有修订，从其规定。</w:t>
      </w:r>
    </w:p>
    <w:p>
      <w:pPr/>
      <w:r>
        <w:rPr>
          <w:rFonts w:hint="eastAsia" w:ascii="仿宋_GB2312" w:hAnsi="仿宋_GB2312" w:eastAsia="仿宋_GB2312" w:cs="仿宋_GB2312"/>
          <w:sz w:val="32"/>
          <w:szCs w:val="32"/>
        </w:rPr>
        <w:t xml:space="preserve">    （三）本规范条件自</w:t>
      </w:r>
      <w:r>
        <w:rPr>
          <w:rFonts w:hint="eastAsia" w:ascii="仿宋_GB2312" w:hAnsi="仿宋_GB2312" w:eastAsia="仿宋_GB2312" w:cs="仿宋_GB2312"/>
          <w:sz w:val="32"/>
          <w:szCs w:val="32"/>
          <w:lang w:val="en-US" w:eastAsia="zh-CN"/>
        </w:rPr>
        <w:t>2017年10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日起实施。</w:t>
      </w:r>
      <w:r>
        <w:rPr>
          <w:rFonts w:hint="eastAsia" w:ascii="仿宋_GB2312" w:hAnsi="仿宋_GB2312" w:eastAsia="仿宋_GB2312" w:cs="仿宋_GB2312"/>
          <w:sz w:val="32"/>
          <w:szCs w:val="32"/>
          <w:lang w:val="en-US" w:eastAsia="zh-CN"/>
        </w:rPr>
        <w:t>2010年4月11日公布的</w:t>
      </w:r>
      <w:r>
        <w:rPr>
          <w:rFonts w:hint="eastAsia" w:ascii="仿宋_GB2312" w:hAnsi="仿宋_GB2312" w:eastAsia="仿宋_GB2312" w:cs="仿宋_GB2312"/>
          <w:sz w:val="32"/>
          <w:szCs w:val="32"/>
        </w:rPr>
        <w:t>《印染行业准入条件（2010年修订版）》（工消费</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rPr>
        <w:t>2010</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rPr>
        <w:t>第93号）同时废止。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Century Gothic">
    <w:panose1 w:val="020B0502020202020204"/>
    <w:charset w:val="00"/>
    <w:family w:val="modern"/>
    <w:pitch w:val="default"/>
    <w:sig w:usb0="00000287" w:usb1="00000000" w:usb2="00000000" w:usb3="00000000" w:csb0="2000009F" w:csb1="DFD7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50B8"/>
    <w:rsid w:val="3C6950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2017-09-12T01:41:00Z</dcterms:created>
  <dc:creator>纵瑞龙</dc:creator>
  <cp:lastModifiedBy>纵瑞龙</cp:lastModifiedBy>
  <dcterms:modified xsi:type="dcterms:W3CDTF">2017-09-12T01:42:16Z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