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jc w:val="center"/>
        <w:rPr>
          <w:rFonts w:hint="eastAsia" w:ascii="仿宋_GB2312" w:hAnsi="仿宋_GB2312" w:eastAsia="仿宋_GB2312" w:cs="仿宋_GB2312"/>
          <w:sz w:val="32"/>
          <w:szCs w:val="32"/>
          <w:lang w:val="en-US"/>
        </w:rPr>
      </w:pPr>
      <w:bookmarkStart w:id="0" w:name="_GoBack"/>
      <w:r>
        <w:rPr>
          <w:rFonts w:hint="eastAsia" w:ascii="华文中宋" w:hAnsi="华文中宋" w:eastAsia="华文中宋" w:cs="华文中宋"/>
          <w:b/>
          <w:bCs/>
          <w:sz w:val="36"/>
          <w:szCs w:val="36"/>
          <w:lang w:val="en-US"/>
        </w:rPr>
        <w:t>印染企业</w:t>
      </w:r>
      <w:r>
        <w:rPr>
          <w:rFonts w:hint="eastAsia" w:ascii="华文中宋" w:hAnsi="华文中宋" w:eastAsia="华文中宋" w:cs="华文中宋"/>
          <w:b/>
          <w:bCs/>
          <w:sz w:val="36"/>
          <w:szCs w:val="36"/>
          <w:lang w:val="en-US" w:eastAsia="zh-CN"/>
        </w:rPr>
        <w:t>规范</w:t>
      </w:r>
      <w:r>
        <w:rPr>
          <w:rFonts w:hint="eastAsia" w:ascii="华文中宋" w:hAnsi="华文中宋" w:eastAsia="华文中宋" w:cs="华文中宋"/>
          <w:b/>
          <w:bCs/>
          <w:sz w:val="36"/>
          <w:szCs w:val="36"/>
          <w:lang w:val="en-US"/>
        </w:rPr>
        <w:t>公告管理暂行办法</w:t>
      </w:r>
      <w:bookmarkEnd w:id="0"/>
    </w:p>
    <w:p>
      <w:pPr>
        <w:jc w:val="center"/>
        <w:rPr>
          <w:rFonts w:hint="eastAsia" w:ascii="仿宋_GB2312" w:hAnsi="仿宋_GB2312" w:eastAsia="仿宋_GB2312" w:cs="仿宋_GB2312"/>
          <w:sz w:val="32"/>
          <w:szCs w:val="32"/>
          <w:lang w:val="en-US"/>
        </w:rPr>
      </w:pPr>
    </w:p>
    <w:p>
      <w:pPr>
        <w:jc w:val="cente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第一章 总 则</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第一条</w:t>
      </w:r>
      <w:r>
        <w:rPr>
          <w:rFonts w:hint="eastAsia" w:ascii="仿宋_GB2312" w:hAnsi="仿宋_GB2312" w:eastAsia="仿宋_GB2312" w:cs="仿宋_GB2312"/>
          <w:sz w:val="32"/>
          <w:szCs w:val="32"/>
          <w:lang w:val="en-US"/>
        </w:rPr>
        <w:t xml:space="preserve"> 为推进印染</w:t>
      </w:r>
      <w:r>
        <w:rPr>
          <w:rFonts w:hint="eastAsia" w:ascii="仿宋_GB2312" w:hAnsi="仿宋_GB2312" w:eastAsia="仿宋_GB2312" w:cs="仿宋_GB2312"/>
          <w:sz w:val="32"/>
          <w:szCs w:val="32"/>
          <w:lang w:val="en-US" w:eastAsia="zh-CN"/>
        </w:rPr>
        <w:t>企业规范化运营</w:t>
      </w:r>
      <w:r>
        <w:rPr>
          <w:rFonts w:hint="eastAsia" w:ascii="仿宋_GB2312" w:hAnsi="仿宋_GB2312" w:eastAsia="仿宋_GB2312" w:cs="仿宋_GB2312"/>
          <w:sz w:val="32"/>
          <w:szCs w:val="32"/>
          <w:lang w:val="en-US"/>
        </w:rPr>
        <w:t>，提高印染产品质量，减少</w:t>
      </w:r>
      <w:r>
        <w:rPr>
          <w:rFonts w:hint="eastAsia" w:ascii="仿宋_GB2312" w:hAnsi="仿宋_GB2312" w:eastAsia="仿宋_GB2312" w:cs="仿宋_GB2312"/>
          <w:sz w:val="32"/>
          <w:szCs w:val="32"/>
          <w:lang w:val="en-US" w:eastAsia="zh-CN"/>
        </w:rPr>
        <w:t>能耗水耗以及</w:t>
      </w:r>
      <w:r>
        <w:rPr>
          <w:rFonts w:hint="eastAsia" w:ascii="仿宋_GB2312" w:hAnsi="仿宋_GB2312" w:eastAsia="仿宋_GB2312" w:cs="仿宋_GB2312"/>
          <w:sz w:val="32"/>
          <w:szCs w:val="32"/>
          <w:lang w:val="en-US"/>
        </w:rPr>
        <w:t>污染物排放总量，</w:t>
      </w: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lang w:val="en-US"/>
        </w:rPr>
        <w:t>据《印染行业</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版）》（以下简称《</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条件》）有关规定，制定《印染企业</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公告管理暂行办法》。</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第二条</w:t>
      </w:r>
      <w:r>
        <w:rPr>
          <w:rFonts w:hint="eastAsia" w:ascii="仿宋_GB2312" w:hAnsi="仿宋_GB2312" w:eastAsia="仿宋_GB2312" w:cs="仿宋_GB2312"/>
          <w:sz w:val="32"/>
          <w:szCs w:val="32"/>
          <w:lang w:val="en-US"/>
        </w:rPr>
        <w:t xml:space="preserve"> 各省、自治区、直辖市及计划单列市、新疆生产建设兵团工业和信息化主管部门（以下</w:t>
      </w:r>
      <w:r>
        <w:rPr>
          <w:rFonts w:hint="default" w:ascii="仿宋_GB2312" w:hAnsi="仿宋_GB2312" w:eastAsia="仿宋_GB2312" w:cs="仿宋_GB2312"/>
          <w:sz w:val="32"/>
          <w:szCs w:val="32"/>
        </w:rPr>
        <w:t>统</w:t>
      </w:r>
      <w:r>
        <w:rPr>
          <w:rFonts w:hint="eastAsia" w:ascii="仿宋_GB2312" w:hAnsi="仿宋_GB2312" w:eastAsia="仿宋_GB2312" w:cs="仿宋_GB2312"/>
          <w:sz w:val="32"/>
          <w:szCs w:val="32"/>
          <w:lang w:val="en-US"/>
        </w:rPr>
        <w:t>称省级工业主管部门）负责本地区印染企业</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公告申请的受理、审核、推荐以及日常监督检查工作。相关行业协会协助工业和信息化部做好申请材料的核查及现场查验等工作。工业和信息化部对符合《</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条件》印染企业的</w:t>
      </w:r>
      <w:r>
        <w:rPr>
          <w:rFonts w:hint="eastAsia"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lang w:val="en-US"/>
        </w:rPr>
        <w:t>进行公告。</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第三条</w:t>
      </w:r>
      <w:r>
        <w:rPr>
          <w:rFonts w:hint="eastAsia" w:ascii="仿宋_GB2312" w:hAnsi="仿宋_GB2312" w:eastAsia="仿宋_GB2312" w:cs="仿宋_GB2312"/>
          <w:sz w:val="32"/>
          <w:szCs w:val="32"/>
          <w:lang w:val="en-US"/>
        </w:rPr>
        <w:t xml:space="preserve"> 未进入公告名单印染企业的公告申请工作每年开展1次，公告名单实行动态管理。</w:t>
      </w:r>
    </w:p>
    <w:p>
      <w:pPr>
        <w:jc w:val="cente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第二章 申请条件和申请材料</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第四条</w:t>
      </w:r>
      <w:r>
        <w:rPr>
          <w:rFonts w:hint="eastAsia" w:ascii="仿宋_GB2312" w:hAnsi="仿宋_GB2312" w:eastAsia="仿宋_GB2312" w:cs="仿宋_GB2312"/>
          <w:sz w:val="32"/>
          <w:szCs w:val="32"/>
          <w:lang w:val="en-US"/>
        </w:rPr>
        <w:t xml:space="preserve"> 申请企业应当具备以下基本条件：</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（一）具有独立法人资格</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（二）符合《</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条件》有关规定要求</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满足</w:t>
      </w:r>
      <w:r>
        <w:rPr>
          <w:rFonts w:hint="eastAsia" w:ascii="仿宋_GB2312" w:hAnsi="仿宋_GB2312" w:eastAsia="仿宋_GB2312" w:cs="仿宋_GB2312"/>
          <w:sz w:val="32"/>
          <w:szCs w:val="32"/>
          <w:lang w:val="en-US"/>
        </w:rPr>
        <w:t>第四条</w:t>
      </w:r>
      <w:r>
        <w:rPr>
          <w:rFonts w:hint="eastAsia" w:ascii="仿宋_GB2312" w:hAnsi="仿宋_GB2312" w:eastAsia="仿宋_GB2312" w:cs="仿宋_GB2312"/>
          <w:sz w:val="32"/>
          <w:szCs w:val="32"/>
          <w:lang w:val="en-US" w:eastAsia="zh-CN"/>
        </w:rPr>
        <w:t>基本条件要求</w:t>
      </w:r>
      <w:r>
        <w:rPr>
          <w:rFonts w:hint="eastAsia" w:ascii="仿宋_GB2312" w:hAnsi="仿宋_GB2312" w:eastAsia="仿宋_GB2312" w:cs="仿宋_GB2312"/>
          <w:sz w:val="32"/>
          <w:szCs w:val="32"/>
          <w:lang w:val="en-US"/>
        </w:rPr>
        <w:t>的印染企业可向本地区省级工业主管部门提出公告申请，并如实填报相关</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en-US"/>
        </w:rPr>
        <w:t>材料。</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en-US"/>
        </w:rPr>
        <w:t>材料应对本企业建设地点、工艺装备、质量与管理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能源消耗、资源消耗及综合利用、环评审批和“三同时”验收、</w:t>
      </w:r>
      <w:r>
        <w:rPr>
          <w:rFonts w:hint="eastAsia" w:ascii="仿宋_GB2312" w:hAnsi="仿宋_GB2312" w:eastAsia="仿宋_GB2312" w:cs="仿宋_GB2312"/>
          <w:sz w:val="32"/>
          <w:szCs w:val="32"/>
          <w:lang w:val="en-US" w:eastAsia="zh-CN"/>
        </w:rPr>
        <w:t>排污许可证、</w:t>
      </w:r>
      <w:r>
        <w:rPr>
          <w:rFonts w:hint="eastAsia" w:ascii="仿宋_GB2312" w:hAnsi="仿宋_GB2312" w:eastAsia="仿宋_GB2312" w:cs="仿宋_GB2312"/>
          <w:sz w:val="32"/>
          <w:szCs w:val="32"/>
          <w:lang w:val="en-US"/>
        </w:rPr>
        <w:t>主要污染物排放、污泥处置、清洁生产审核、安全生产等方面进行说明并提供必要证明材料。</w:t>
      </w:r>
    </w:p>
    <w:p>
      <w:pPr>
        <w:jc w:val="cente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第三章 审核和公告</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第六条</w:t>
      </w:r>
      <w:r>
        <w:rPr>
          <w:rFonts w:hint="eastAsia" w:ascii="仿宋_GB2312" w:hAnsi="仿宋_GB2312" w:eastAsia="仿宋_GB2312" w:cs="仿宋_GB2312"/>
          <w:sz w:val="32"/>
          <w:szCs w:val="32"/>
          <w:lang w:val="en-US"/>
        </w:rPr>
        <w:t xml:space="preserve"> 各省级工业主管部门</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lang w:val="en-US"/>
        </w:rPr>
        <w:t>照《</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条件》要求，对申请公告企业的相关情况进行核实，并将符合《</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条件》要求的企业申请材料及审核意见报工业和信息化部。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工业和信息化部收到各地上报材料后，组织相关行业协会、专家</w:t>
      </w:r>
      <w:r>
        <w:rPr>
          <w:rFonts w:hint="eastAsia" w:ascii="仿宋_GB2312" w:hAnsi="仿宋_GB2312" w:eastAsia="仿宋_GB2312" w:cs="仿宋_GB2312"/>
          <w:sz w:val="32"/>
          <w:szCs w:val="32"/>
          <w:lang w:val="en-US" w:eastAsia="zh-CN"/>
        </w:rPr>
        <w:t>开展申请材料</w:t>
      </w:r>
      <w:r>
        <w:rPr>
          <w:rFonts w:hint="eastAsia" w:ascii="仿宋_GB2312" w:hAnsi="仿宋_GB2312" w:eastAsia="仿宋_GB2312" w:cs="仿宋_GB2312"/>
          <w:sz w:val="32"/>
          <w:szCs w:val="32"/>
          <w:lang w:val="en-US"/>
        </w:rPr>
        <w:t>核查及现场查验等工作，对符合《</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条件》印染企业</w:t>
      </w:r>
      <w:r>
        <w:rPr>
          <w:rFonts w:hint="eastAsia" w:ascii="仿宋_GB2312" w:hAnsi="仿宋_GB2312" w:eastAsia="仿宋_GB2312" w:cs="仿宋_GB2312"/>
          <w:sz w:val="32"/>
          <w:szCs w:val="32"/>
          <w:lang w:val="en-US" w:eastAsia="zh-CN"/>
        </w:rPr>
        <w:t>的名单</w:t>
      </w:r>
      <w:r>
        <w:rPr>
          <w:rFonts w:hint="eastAsia" w:ascii="仿宋_GB2312" w:hAnsi="仿宋_GB2312" w:eastAsia="仿宋_GB2312" w:cs="仿宋_GB2312"/>
          <w:sz w:val="32"/>
          <w:szCs w:val="32"/>
          <w:lang w:val="en-US"/>
        </w:rPr>
        <w:t>进行公示（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个工作日），对公示无异议企业名单，以公告形式予以发布。</w:t>
      </w:r>
    </w:p>
    <w:p>
      <w:pPr>
        <w:jc w:val="cente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第四章 监督和管理</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第八条</w:t>
      </w:r>
      <w:r>
        <w:rPr>
          <w:rFonts w:hint="eastAsia" w:ascii="仿宋_GB2312" w:hAnsi="仿宋_GB2312" w:eastAsia="仿宋_GB2312" w:cs="仿宋_GB2312"/>
          <w:sz w:val="32"/>
          <w:szCs w:val="32"/>
          <w:lang w:val="en-US"/>
        </w:rPr>
        <w:t xml:space="preserve"> 进入公告名单的印染企业要严格按照《</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条件》的要求组织生产经营活动。各省级工业主管部门负责日常监督检查工作。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第九条</w:t>
      </w:r>
      <w:r>
        <w:rPr>
          <w:rFonts w:hint="eastAsia" w:ascii="仿宋_GB2312" w:hAnsi="仿宋_GB2312" w:eastAsia="仿宋_GB2312" w:cs="仿宋_GB2312"/>
          <w:sz w:val="32"/>
          <w:szCs w:val="32"/>
          <w:lang w:val="en-US"/>
        </w:rPr>
        <w:t xml:space="preserve"> 已公告企业有下列情况之一，省级工业主管部门应责令其限期整改，拒不整改或整改不合格者，报请工业和信息化部撤销</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val="en-US"/>
        </w:rPr>
        <w:t>公告。</w:t>
      </w:r>
      <w:r>
        <w:rPr>
          <w:rFonts w:hint="eastAsia" w:ascii="仿宋_GB2312" w:hAnsi="仿宋_GB2312" w:eastAsia="仿宋_GB2312" w:cs="仿宋_GB2312"/>
          <w:sz w:val="32"/>
          <w:szCs w:val="32"/>
          <w:lang w:val="en-US" w:eastAsia="zh-CN"/>
        </w:rPr>
        <w:t>工业和信息化部撤销企业公告前，听取有关企业陈诉和申辩。</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（一）不能保持《</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rPr>
        <w:t>条件》</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（二）报送的相关材料有弄虚作假行为</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（三）拒不接受监督检查</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（四）发生重大违反国家法律法规、产业政策要求的行为</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（五）发生重大安全生产和环境污染事故。</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被撤销公告的企业，经整改合格满2年后方可重新提出公告申请。</w:t>
      </w:r>
    </w:p>
    <w:p>
      <w:pPr>
        <w:jc w:val="cente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第五章 附 则</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rPr>
        <w:t>第十条</w:t>
      </w:r>
      <w:r>
        <w:rPr>
          <w:rFonts w:hint="eastAsia" w:ascii="仿宋_GB2312" w:hAnsi="仿宋_GB2312" w:eastAsia="仿宋_GB2312" w:cs="仿宋_GB2312"/>
          <w:sz w:val="32"/>
          <w:szCs w:val="32"/>
          <w:lang w:val="en-US"/>
        </w:rPr>
        <w:t xml:space="preserve"> 本办法适用于中华人民共和国境内（港澳台地区除外）所有类型的印染企业。</w:t>
      </w:r>
    </w:p>
    <w:p>
      <w:pPr>
        <w:ind w:firstLine="0"/>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本办法自</w:t>
      </w:r>
      <w:r>
        <w:rPr>
          <w:rFonts w:hint="eastAsia" w:ascii="仿宋_GB2312" w:hAnsi="仿宋_GB2312" w:eastAsia="仿宋_GB2312" w:cs="仿宋_GB2312"/>
          <w:sz w:val="32"/>
          <w:szCs w:val="32"/>
          <w:lang w:val="en-US" w:eastAsia="zh-CN"/>
        </w:rPr>
        <w:t>2017年10月1</w:t>
      </w:r>
      <w:r>
        <w:rPr>
          <w:rFonts w:hint="eastAsia" w:ascii="仿宋_GB2312" w:hAnsi="仿宋_GB2312" w:eastAsia="仿宋_GB2312" w:cs="仿宋_GB2312"/>
          <w:sz w:val="32"/>
          <w:szCs w:val="32"/>
          <w:lang w:val="en-US"/>
        </w:rPr>
        <w:t>日起</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2012年1月19日公布的</w:t>
      </w:r>
      <w:r>
        <w:rPr>
          <w:rFonts w:hint="eastAsia" w:ascii="仿宋_GB2312" w:hAnsi="仿宋_GB2312" w:eastAsia="仿宋_GB2312" w:cs="仿宋_GB2312"/>
          <w:sz w:val="32"/>
          <w:szCs w:val="32"/>
          <w:lang w:eastAsia="zh-CN"/>
        </w:rPr>
        <w:t>《印染企业准入公告管理暂行办法》（工信部消费</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40号</w:t>
      </w:r>
      <w:r>
        <w:rPr>
          <w:rFonts w:hint="eastAsia" w:ascii="仿宋_GB2312" w:hAnsi="仿宋_GB2312" w:eastAsia="仿宋_GB2312" w:cs="仿宋_GB2312"/>
          <w:sz w:val="32"/>
          <w:szCs w:val="32"/>
        </w:rPr>
        <w:t>）同时废止。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4EE2"/>
    <w:rsid w:val="1E6F4E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2017-09-12T01:39:00Z</dcterms:created>
  <dc:creator>纵瑞龙</dc:creator>
  <cp:lastModifiedBy>纵瑞龙</cp:lastModifiedBy>
  <dcterms:modified xsi:type="dcterms:W3CDTF">2017-09-12T01:39:46Z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